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</w:pPr>
      <w:r>
        <w:rPr>
          <w:rFonts w:ascii="Calibri" w:hAnsi="Calibri"/>
          <w:b/>
          <w:color w:val="B78F48"/>
          <w:sz w:val="18"/>
        </w:rPr>
        <w:t>WZÓR DO UZUPEŁNIENIA</w:t>
      </w:r>
    </w:p>
    <w:p>
      <w:pPr>
        <w:spacing w:after="140"/>
      </w:pPr>
      <w:r>
        <w:rPr>
          <w:rFonts w:ascii="Georgia" w:hAnsi="Georgia"/>
          <w:color w:val="071725"/>
          <w:sz w:val="56"/>
        </w:rPr>
        <w:t>Polityka prywatności i plików cookies</w:t>
      </w:r>
    </w:p>
    <w:p>
      <w:pPr>
        <w:spacing w:after="320"/>
      </w:pPr>
      <w:r>
        <w:rPr>
          <w:rFonts w:ascii="Calibri" w:hAnsi="Calibri"/>
          <w:color w:val="536572"/>
          <w:sz w:val="24"/>
        </w:rPr>
        <w:t>Strona internetowa kancelarii prawnej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Kancelaria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[PEŁNA NAZWA KANCELARII]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Adres serwisu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[HTTPS://ADRES-STRONY.PL]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Wersja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[1.0]  |  obowiązuje od [DD.MM.RRRR]</w:t>
            </w:r>
          </w:p>
        </w:tc>
      </w:tr>
    </w:tbl>
    <w:p>
      <w:pPr>
        <w:spacing w:after="0"/>
      </w:pPr>
    </w:p>
    <w:p>
      <w:pPr>
        <w:pStyle w:val="Heading1"/>
      </w:pPr>
      <w:r>
        <w:t>1. Administrator danych</w:t>
      </w:r>
    </w:p>
    <w:p>
      <w:r>
        <w:t>Administratorem danych osobowych jest [PEŁNA NAZWA / IMIĘ I NAZWISKO], prowadzący(-a) kancelarię pod adresem [PEŁNY ADRES], NIP [NIP], REGON [REGON], wpisany(-a) na listę [WŁAŚCIWA IZBA / NUMER WPISU].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E-mail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[ADRES E-MAIL]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Telefon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[NUMER TELEFONU]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Adres korespondencyjny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[PEŁNY ADRES]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Inspektor ochrony danych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[JEŚLI WYZNACZONO: DANE KONTAKTOWE IOD]</w:t>
            </w:r>
          </w:p>
        </w:tc>
      </w:tr>
    </w:tbl>
    <w:p>
      <w:pPr>
        <w:spacing w:after="0"/>
      </w:pPr>
    </w:p>
    <w:p>
      <w:pPr>
        <w:pStyle w:val="Heading1"/>
      </w:pPr>
      <w:r>
        <w:t>2. Zakres, cele i podstawy przetwarzania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Proces</w:t>
            </w:r>
          </w:p>
        </w:tc>
        <w:tc>
          <w:tcPr>
            <w:tcW w:type="dxa" w:w="666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Dane, podstawa i okres</w:t>
            </w:r>
          </w:p>
        </w:tc>
      </w:tr>
      <w:tr>
        <w:tc>
          <w:tcPr>
            <w:tcW w:type="dxa" w:w="2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Kontakt i odpowiedź na zapytanie</w:t>
            </w:r>
          </w:p>
        </w:tc>
        <w:tc>
          <w:tcPr>
            <w:tcW w:type="dxa" w:w="66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Dane identyfikacyjne i kontaktowe oraz treść wiadomości | art. 6 ust. 1 lit. b RODO przed zawarciem umowy albo art. 6 ust. 1 lit. f RODO dla kontaktu służbowego i organizacji korespondencji | do [OKRES / KRYTERIUM].</w:t>
            </w:r>
          </w:p>
        </w:tc>
      </w:tr>
      <w:tr>
        <w:tc>
          <w:tcPr>
            <w:tcW w:type="dxa" w:w="27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Świadczenie pomocy prawnej</w:t>
            </w:r>
          </w:p>
        </w:tc>
        <w:tc>
          <w:tcPr>
            <w:tcW w:type="dxa" w:w="66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Dane niezbędne do przyjęcia i prowadzenia sprawy | art. 6 ust. 1 lit. b i c RODO; w razie danych szczególnych kategorii art. 9 ust. 2 lit. f RODO; w razie danych z art. 10 RODO - na podstawie właściwych przepisów krajowych | przez okres właściwy dla dokumentacji sprawy.</w:t>
            </w:r>
          </w:p>
        </w:tc>
      </w:tr>
      <w:tr>
        <w:tc>
          <w:tcPr>
            <w:tcW w:type="dxa" w:w="2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Rozliczenia i obowiązki prawne</w:t>
            </w:r>
          </w:p>
        </w:tc>
        <w:tc>
          <w:tcPr>
            <w:tcW w:type="dxa" w:w="66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Dane wymagane przepisami podatkowymi, rachunkowymi i zawodowymi | art. 6 ust. 1 lit. c RODO | przez okres wynikający z właściwych przepisów.</w:t>
            </w:r>
          </w:p>
        </w:tc>
      </w:tr>
      <w:tr>
        <w:tc>
          <w:tcPr>
            <w:tcW w:type="dxa" w:w="27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Ustalenie, dochodzenie lub obrona roszczeń</w:t>
            </w:r>
          </w:p>
        </w:tc>
        <w:tc>
          <w:tcPr>
            <w:tcW w:type="dxa" w:w="66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Dane związane z relacją i jej udokumentowaniem | art. 6 ust. 1 lit. f RODO | do upływu właściwego terminu przedawnienia i zakończenia postępowania.</w:t>
            </w:r>
          </w:p>
        </w:tc>
      </w:tr>
      <w:tr>
        <w:tc>
          <w:tcPr>
            <w:tcW w:type="dxa" w:w="27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Bezpieczeństwo serwisu</w:t>
            </w:r>
          </w:p>
        </w:tc>
        <w:tc>
          <w:tcPr>
            <w:tcW w:type="dxa" w:w="66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Adres IP, znaczniki czasu, logi i dane techniczne | art. 6 ust. 1 lit. f RODO | przez [OKRES, NP. 30 DNI], chyba że zdarzenie wymaga dłuższego zabezpieczenia.</w:t>
            </w:r>
          </w:p>
        </w:tc>
      </w:tr>
      <w:tr>
        <w:tc>
          <w:tcPr>
            <w:tcW w:type="dxa" w:w="27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Analityka i media zewnętrzne - jeśli używane</w:t>
            </w:r>
          </w:p>
        </w:tc>
        <w:tc>
          <w:tcPr>
            <w:tcW w:type="dxa" w:w="66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Identyfikatory online i dane o korzystaniu z serwisu | art. 6 ust. 1 lit. a RODO oraz właściwe przepisy Prawa komunikacji elektronicznej | do wycofania zgody albo końca okresu działania danego identyfikatora.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3. Odbiorcy danych i podmioty przetwarzające</w:t>
      </w:r>
    </w:p>
    <w:p>
      <w:r>
        <w:t>Dane mogą otrzymywać podmioty wspierające kancelarię w zakresie niezbędnym do wykonania powierzonych zadań, w szczególności: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Hosting i poczta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[NAZWA DOSTAWCY, PAŃSTWO]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Obsługa IT i bezpieczeństwo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[NAZWA DOSTAWCY]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System kancelaryjny / CRM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[NAZWA DOSTAWCY]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Księgowość i płatności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[NAZWA DOSTAWCY]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Analityka / mapy / wideo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[NAZWA DOSTAWCY - JEŚLI DOTYCZY]</w:t>
            </w:r>
          </w:p>
        </w:tc>
      </w:tr>
      <w:tr>
        <w:tc>
          <w:tcPr>
            <w:tcW w:type="dxa" w:w="2100"/>
            <w:vAlign w:val="top"/>
            <w:shd w:fill="EEE7D9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071725"/>
                <w:sz w:val="19"/>
              </w:rPr>
              <w:t>Organy i inni odbiorcy</w:t>
            </w:r>
          </w:p>
        </w:tc>
        <w:tc>
          <w:tcPr>
            <w:tcW w:type="dxa" w:w="72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9"/>
              </w:rPr>
              <w:t>Podmioty uprawnione na podstawie przepisów prawa, sądy, organy postępowania oraz osoby uczestniczące w prowadzonej sprawie - w granicach właściwych obowiązków i tajemnicy zawodowej.</w:t>
            </w:r>
          </w:p>
        </w:tc>
      </w:tr>
    </w:tbl>
    <w:p>
      <w:pPr>
        <w:spacing w:after="0"/>
      </w:pPr>
    </w:p>
    <w:p>
      <w:pPr>
        <w:pStyle w:val="Heading1"/>
      </w:pPr>
      <w:r>
        <w:t>4. Transfer danych poza Europejski Obszar Gospodarczy</w:t>
      </w:r>
    </w:p>
    <w:p>
      <w:r>
        <w:t>[WARIANT A] Kancelaria nie przekazuje danych poza Europejski Obszar Gospodarczy.</w:t>
      </w:r>
    </w:p>
    <w:p>
      <w:r>
        <w:t>[WARIANT B] W związku z korzystaniem z [NAZWA USŁUGI] dane mogą być przekazywane do [PAŃSTWO]. Podstawą transferu jest [DECYZJA STWIERDZAJĄCA ODPOWIEDNI STOPIEŃ OCHRONY / STANDARDOWE KLAUZULE UMOWNE / INNY MECHANIZM]. Informację o zabezpieczeniach można uzyskać pod adresem [E-MAIL / LINK].</w:t>
      </w:r>
    </w:p>
    <w:p>
      <w:pPr>
        <w:pStyle w:val="Heading1"/>
      </w:pPr>
      <w:r>
        <w:t>5. Okres przechowywania</w:t>
      </w:r>
    </w:p>
    <w:p>
      <w:r>
        <w:t>Dane są przechowywane przez okres wskazany przy danym celu, a następnie do czasu zakończenia obowiązkowej archiwizacji albo upływu terminów związanych z dochodzeniem lub obroną roszczeń.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Kategoria</w:t>
            </w:r>
          </w:p>
        </w:tc>
        <w:tc>
          <w:tcPr>
            <w:tcW w:type="dxa" w:w="636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Okres lub kryterium</w:t>
            </w:r>
          </w:p>
        </w:tc>
      </w:tr>
      <w:tr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Dokumentacja sprawy adwokackiej</w:t>
            </w:r>
          </w:p>
        </w:tc>
        <w:tc>
          <w:tcPr>
            <w:tcW w:type="dxa" w:w="63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[JEŚLI DOTYCZY] 10 lat od końca roku, w którym zakończyło się postępowanie, w ramach którego dane zgromadzono - zgodnie z art. 16c Prawa o adwokaturze.</w:t>
            </w:r>
          </w:p>
        </w:tc>
      </w:tr>
      <w:tr>
        <w:tc>
          <w:tcPr>
            <w:tcW w:type="dxa" w:w="30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Dokumentacja radcy prawnego</w:t>
            </w:r>
          </w:p>
        </w:tc>
        <w:tc>
          <w:tcPr>
            <w:tcW w:type="dxa" w:w="63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[JEŚLI DOTYCZY] okres wynikający z art. 5c ustawy o radcach prawnych, ustalony według rodzaju dokumentacji i prowadzonego postępowania.</w:t>
            </w:r>
          </w:p>
        </w:tc>
      </w:tr>
      <w:tr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Zapytanie bez nawiązania współpracy</w:t>
            </w:r>
          </w:p>
        </w:tc>
        <w:tc>
          <w:tcPr>
            <w:tcW w:type="dxa" w:w="63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[OKRES, NP. 6 MIESIĘCY] od zakończenia korespondencji, chyba że wcześniejsze usunięcie jest zasadne lub dane są potrzebne do udokumentowania konfliktu interesów albo obrony roszczeń.</w:t>
            </w:r>
          </w:p>
        </w:tc>
      </w:tr>
      <w:tr>
        <w:tc>
          <w:tcPr>
            <w:tcW w:type="dxa" w:w="30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Dokumenty rozliczeniowe</w:t>
            </w:r>
          </w:p>
        </w:tc>
        <w:tc>
          <w:tcPr>
            <w:tcW w:type="dxa" w:w="63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[OKRES WYNIKAJĄCY Z WŁAŚCIWYCH PRZEPISÓW].</w:t>
            </w:r>
          </w:p>
        </w:tc>
      </w:tr>
      <w:tr>
        <w:tc>
          <w:tcPr>
            <w:tcW w:type="dxa" w:w="30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Zgoda</w:t>
            </w:r>
          </w:p>
        </w:tc>
        <w:tc>
          <w:tcPr>
            <w:tcW w:type="dxa" w:w="63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Do wycofania zgody, a dowód jej udzielenia - przez okres potrzebny do wykazania zgodności i obrony przed roszczeniami.</w:t>
            </w:r>
          </w:p>
        </w:tc>
      </w:tr>
    </w:tbl>
    <w:p>
      <w:pPr>
        <w:spacing w:after="0"/>
      </w:pPr>
    </w:p>
    <w:p>
      <w:pPr>
        <w:pStyle w:val="Heading1"/>
      </w:pPr>
      <w:r>
        <w:t>6. Prawa osoby, której dane dotyczą</w:t>
      </w:r>
    </w:p>
    <w:p>
      <w:r>
        <w:t>Na zasadach określonych w RODO osobie, której dane dotyczą, może przysługiwać prawo dostępu do danych, ich sprostowania, usunięcia, ograniczenia przetwarzania, przenoszenia danych, wniesienia sprzeciwu oraz wycofania zgody w dowolnym momencie. Wycofanie zgody nie wpływa na zgodność z prawem przetwarzania dokonanego przed jej wycofaniem.</w:t>
      </w:r>
    </w:p>
    <w:p>
      <w:r>
        <w:t>Żądanie można przesłać na [ADRES E-MAIL / ADRES KORESPONDENCYJNY]. Osoba może również wnieść skargę do Prezesa Urzędu Ochrony Danych Osobowych.</w:t>
      </w:r>
    </w:p>
    <w:p>
      <w:r>
        <w:br w:type="page"/>
      </w:r>
    </w:p>
    <w:p>
      <w:pPr>
        <w:pStyle w:val="Heading1"/>
      </w:pPr>
      <w:r>
        <w:t>7. Pliki cookies i usługi zewnętrzne</w:t>
      </w:r>
    </w:p>
    <w:p>
      <w:r>
        <w:t>Serwis wykorzystuje informacje zapisywane lub odczytywane z urządzenia użytkownika. Technologie niezbędne działają w celu transmisji komunikatu, bezpieczeństwa i realizacji funkcji wyraźnie żądanych przez użytkownika. Pozostałe kategorie są uruchamiane po dokonaniu wyboru w panelu zgód.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blHeader w:val="true"/>
        </w:trPr>
        <w:tc>
          <w:tcPr>
            <w:tcW w:type="dxa" w:w="190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Kategoria</w:t>
            </w:r>
          </w:p>
        </w:tc>
        <w:tc>
          <w:tcPr>
            <w:tcW w:type="dxa" w:w="7460"/>
            <w:shd w:fill="07172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7"/>
              </w:rPr>
              <w:t>Narzędzie, cel, czas i podstawa</w:t>
            </w:r>
          </w:p>
        </w:tc>
      </w:tr>
      <w:t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Niezbędne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[NAZWA / DOSTAWCA] | bezpieczeństwo, sesja, zapis wyboru | [OKRES] | bez zgody, gdy spełnione są przesłanki ustawowe.</w:t>
            </w:r>
          </w:p>
        </w:tc>
      </w:tr>
      <w:tr>
        <w:tc>
          <w:tcPr>
            <w:tcW w:type="dxa" w:w="19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Analityczne</w:t>
            </w:r>
          </w:p>
        </w:tc>
        <w:tc>
          <w:tcPr>
            <w:tcW w:type="dxa" w:w="74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[NAZWA / DOSTAWCA] | pomiar ruchu i ulepszanie serwisu | [OKRES] | zgoda.</w:t>
            </w:r>
          </w:p>
        </w:tc>
      </w:tr>
      <w:tr>
        <w:tc>
          <w:tcPr>
            <w:tcW w:type="dxa" w:w="19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Funkcjonalne</w:t>
            </w:r>
          </w:p>
        </w:tc>
        <w:tc>
          <w:tcPr>
            <w:tcW w:type="dxa" w:w="746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[NAZWA / DOSTAWCA] | mapa, film lub inna funkcja zewnętrzna | [OKRES] | zgoda.</w:t>
            </w:r>
          </w:p>
        </w:tc>
      </w:tr>
      <w:tr>
        <w:tc>
          <w:tcPr>
            <w:tcW w:type="dxa" w:w="190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Marketingowe</w:t>
            </w:r>
          </w:p>
        </w:tc>
        <w:tc>
          <w:tcPr>
            <w:tcW w:type="dxa" w:w="7460"/>
            <w:vAlign w:val="top"/>
            <w:shd w:fill="F3EFE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71725"/>
                <w:sz w:val="18"/>
              </w:rPr>
              <w:t>[NAZWA / DOSTAWCA] | pomiar kampanii i dopasowanie komunikacji | [OKRES] | zgoda.</w:t>
            </w:r>
          </w:p>
        </w:tc>
      </w:tr>
    </w:tbl>
    <w:p>
      <w:pPr>
        <w:spacing w:after="0"/>
      </w:pPr>
    </w:p>
    <w:p>
      <w:r>
        <w:t>Użytkownik może zmienić wybór w dowolnym momencie za pomocą [LINK / PRZYCISK USTAWIENIA COOKIES]. Może również ograniczyć cookies w ustawieniach przeglądarki.</w:t>
      </w:r>
    </w:p>
    <w:p>
      <w:pPr>
        <w:pStyle w:val="Heading1"/>
      </w:pPr>
      <w:r>
        <w:t>8. Dobrowolność podania danych</w:t>
      </w:r>
    </w:p>
    <w:p>
      <w:r>
        <w:t>Podanie danych jest dobrowolne, ale może być konieczne do otrzymania odpowiedzi, zawarcia umowy albo wykonania usługi. Jeżeli obowiązek podania danych wynika z prawa, kancelaria wskaże właściwą podstawę i konsekwencje ich niepodania.</w:t>
      </w:r>
    </w:p>
    <w:p>
      <w:pPr>
        <w:pStyle w:val="Heading1"/>
      </w:pPr>
      <w:r>
        <w:t>9. Zautomatyzowane decyzje</w:t>
      </w:r>
    </w:p>
    <w:p>
      <w:r>
        <w:t>[WARIANT PODSTAWOWY] Dane nie są wykorzystywane do podejmowania wobec użytkownika decyzji opartych wyłącznie na zautomatyzowanym przetwarzaniu, które wywoływałyby skutki prawne lub w podobny sposób istotnie na niego wpływały.</w:t>
      </w:r>
    </w:p>
    <w:p>
      <w:pPr>
        <w:pStyle w:val="Heading1"/>
      </w:pPr>
      <w:r>
        <w:t>10. Bezpieczeństwo i tajemnica zawodowa</w:t>
      </w:r>
    </w:p>
    <w:p>
      <w:r>
        <w:t>Kancelaria stosuje środki techniczne i organizacyjne odpowiednie do ryzyka oraz przetwarza dane z uwzględnieniem obowiązku zachowania tajemnicy zawodowej. W pierwszej wiadomości nie należy przesyłać pełnej dokumentacji ani danych osób trzecich, jeżeli nie jest to konieczne.</w:t>
      </w:r>
    </w:p>
    <w:p>
      <w:pPr>
        <w:pStyle w:val="Heading1"/>
      </w:pPr>
      <w:r>
        <w:t>11. Zmiany polityki</w:t>
      </w:r>
    </w:p>
    <w:p>
      <w:r>
        <w:t>Polityka jest aktualizowana po zmianie procesów, funkcji serwisu, dostawców lub przepisów. Aktualna wersja obowiązuje od [DD.MM.RRRR] i jest dostępna pod adresem [URL POLITYKI].</w:t>
      </w:r>
    </w:p>
    <w:p>
      <w:pPr>
        <w:pStyle w:val="Heading1"/>
      </w:pPr>
      <w:r>
        <w:t>Dane do uzupełnienia przed publikacją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Dane administratora i właściwe dane zawodowe są kompletne.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W tabelach pozostawiono wyłącznie rzeczywiście używane procesy i narzędzia.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Okresy przechowywania odpowiadają praktyce kancelarii.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Wskazano dostawców, transfery i mechanizmy zabezpieczające.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Panel zgód blokuje opcjonalne usługi przed wyborem użytkownika.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20"/>
        <w:gridCol w:w="8840"/>
      </w:tblGrid>
      <w:tr>
        <w:tc>
          <w:tcPr>
            <w:tcW w:type="dxa" w:w="52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87343A"/>
                <w:sz w:val="26"/>
              </w:rPr>
              <w:t>☐</w:t>
            </w:r>
          </w:p>
        </w:tc>
        <w:tc>
          <w:tcPr>
            <w:tcW w:type="dxa" w:w="8840"/>
            <w:vAlign w:val="center"/>
            <w:shd w:fill="F7F3EA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t>Usunięto wszystkie niewłaściwe warianty i pola w nawiasach.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36572"/>
        <w:sz w:val="16"/>
      </w:rPr>
      <w:t xml:space="preserve">SEO FOR LAW  |  seoforlaw.pl  |  </w:t>
    </w:r>
    <w: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B78F48"/>
        <w:sz w:val="16"/>
      </w:rPr>
      <w:t>SEO FOR LAW  |  WZÓR DOCX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0717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Georgia" w:hAnsi="Georgia"/>
      <w:b w:val="0"/>
      <w:bCs/>
      <w:color w:val="07172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Georgia" w:hAnsi="Georgia"/>
      <w:b w:val="0"/>
      <w:bCs/>
      <w:color w:val="07172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Georgia" w:hAnsi="Georgia"/>
      <w:b w:val="0"/>
      <w:bCs/>
      <w:color w:val="07172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basedOn w:val="Normal"/>
    <w:pPr>
      <w:keepNext/>
      <w:spacing w:after="60"/>
    </w:pPr>
    <w:rPr>
      <w:rFonts w:ascii="Calibri" w:hAnsi="Calibri"/>
      <w:b/>
      <w:color w:val="536572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prywatności kancelarii - czysty wzór DOCX</dc:title>
  <dc:subject>Czysty wzór polityki prywatności i plików cookies do uzupełnienia danymi kancelarii</dc:subject>
  <dc:creator>SEO FOR LAW</dc:creator>
  <cp:keywords>wzór DOCX, kancelaria prawna, dokument do uzupełnienia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